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1d6f91bac9194e10"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7155</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CENTAR ZA PRUŽANJE USLUGA U ZAJEDNICI RUŽA PETROVIĆ</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11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III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334.320,02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316.639,59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506.029,49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327.194,57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171.709,47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10.554,98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PRIHODA OD NEFINANCIJSKE IMOVINE (šifre 7-4,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X002, 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171.709,47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10.554,98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6,1</w:t>
            </w:r>
          </w:p>
        </w:tc>
      </w:tr>
    </w:tbl>
    <w:p>
      <w:pPr>
        <w:spacing w:before="0" w:after="0"/>
      </w:pPr>
    </w:p>
    <w:p>
      <w:pPr>
        <w:jc w:val="both"/>
      </w:pPr>
      <w:r>
        <w:t xml:space="preserve">U razdoblju od 01. 01. do 31. 03. 2026. godine prihodi poslovanja ostvareni su u iznosu od 316.639,59 €. Prihodi poslovanja manji su za 5% u odnosu na izvještajno razdoblje prethodne godine. Gotovo 100% prihoda čine prihodi  nadležnog proračuna za financiranje rashoda poslovanja. Smanjenje prihoda poslovanja bilježi se na prihodima od donacija koji su za 32% manji u odnosu na isto izvještajno razdoblje prethodne godine. Prihodi od participacija  manji su za 81% budući da od 2025. godine troškove smještaja korisnika snosi nadležno Ministarstvo . </w:t>
      </w:r>
    </w:p>
    <w:p>
      <w:pPr>
        <w:jc w:val="both"/>
      </w:pPr>
      <w:r>
        <w:t xml:space="preserve">Rashodi poslovanja u razdoblju od 01. 01. do 31.03.2026. godine ostvareni su u iznosu 327.194,57 € odnosno manji su za 35% u odnosu na izvještajno razdoblje prethodne godine. Financijski najznačajnije smanjenje rashoda evidentirano je na rashodima za zaposlene budući da, sukladno zakonskim izmjenama u proračunskom računovodstvu, obračunate plaće za 12/2025. godine ulaze u rashode tekuće godine. U izvještajnom razdoblju prethodne godine obračunate plaće za 12/2024. godine, matrijalna prava radnika po TKU kao i računi za materijalne rashode teretili  su rashode (preko kontinuiranih rashoda) iduće godine tj. 2025.  te su iskazani u rashodima predmetnog izvještajnog razdoblja prethodne godine. </w:t>
      </w:r>
    </w:p>
    <w:p>
      <w:pPr>
        <w:jc w:val="both"/>
      </w:pPr>
      <w:r>
        <w:t xml:space="preserve">U predmetnom izvještajnom razdoblju nema ostvarenih prihoda  od prodaje nefinancijske imovine, kao ni rashoda za nabavu nefinancijske imovine. U predmetnom izvještajnom  razdoblju nije bilo ostvarenih primitaka i izdataka od financijske imovine i zaduživanja.</w:t>
      </w:r>
    </w:p>
    <w:p>
      <w:pPr>
        <w:jc w:val="both"/>
      </w:pPr>
      <w:r>
        <w:t xml:space="preserve">U izvještajnom razdoblju ostvaren je manjak prihoda i primitaka u iznosu 10.554,98€, koji je za 94% manji u odnosu na manjak ostvaren u izvještajnom razdoblju prethodne godine. Smanjenje iskazanog manjka prihoda i primitaka rezultat je zakonskih izmjena iskazivanja rashoda u proračunskom računovodstvu tj. ukidanja kontinuiranih rashoda kojima su rashodi (plaće za 12. i ostali računi za materijalne rashode poslovanja) ostvareni u prosincu tekuće godine teretili rashode naredne godine.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zaposlene (šifre 311+312+313)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429.216,57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262.351,51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61,1</w:t>
            </w:r>
          </w:p>
        </w:tc>
      </w:tr>
    </w:tbl>
    <w:p>
      <w:pPr>
        <w:spacing w:before="0" w:after="0"/>
      </w:pPr>
    </w:p>
    <w:p>
      <w:r>
        <w:t xml:space="preserve">Smanjenje rashoda za zaposlene (iako je u Centru tijekom 2025. godine zaposleno 10 radnika) rezultat je zakonskih promjena u iskazivanju rashoda te u ovom izvještajnom razdoblju nema iskazane plaće  i ostalih materijalnih prava radnika za prosinac prethodne godine.  </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1.922,16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3.410,20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177,4</w:t>
            </w:r>
          </w:p>
        </w:tc>
      </w:tr>
    </w:tbl>
    <w:p>
      <w:pPr>
        <w:spacing w:before="0" w:after="0"/>
      </w:pPr>
    </w:p>
    <w:p>
      <w:r>
        <w:t xml:space="preserve">Rashodi za službena putovanja radnika povećani su zbog povećanja broja zaposlenih i  upućivanja radnika na stručna usavršavanja. </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1.586,25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293,8</w:t>
            </w:r>
          </w:p>
        </w:tc>
      </w:tr>
    </w:tbl>
    <w:p>
      <w:pPr>
        <w:spacing w:before="0" w:after="0"/>
      </w:pPr>
    </w:p>
    <w:p>
      <w:r>
        <w:t xml:space="preserve">Rashodi za stručno usavršavanje radnika povećani su zbog povećanja broja zaposlenih i  upućivanja radnika na stručna usavršavanja. </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15.693,21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29.956,84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190,9</w:t>
            </w:r>
          </w:p>
        </w:tc>
      </w:tr>
    </w:tbl>
    <w:p>
      <w:pPr>
        <w:spacing w:before="0" w:after="0"/>
      </w:pPr>
    </w:p>
    <w:p>
      <w:r>
        <w:t xml:space="preserve">Rashodi za usluge tekućeg i investicijskog održavanja ostvareni u izvještajnom razdoblju veći su odnosu na izvještajno razdoblje prethodne godine zbog uređenja blagovaonice i dvorišnog vrta u matičnoj zgradi. </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Za razdoblje siječanj - ožujak 2026. godine na dan 31.03.2026. godine nema evidentiranih i iskazanih dospjelih obveza. Svi računi i obveze podmireni su na vrijeme tj. u roku dospijeća te je iskazano samo stanje nedospjelih obveza koje obuhvaćaju obveze za plaće  radnika za ožujak 2026. godine, obveze za račune čije je dospijeće u travnju 2026. godine te obveze za povrat u nadležni proračun po osnovi nerefundiranih naknada za bolovanje od strane HZZO-a.</w:t>
      </w:r>
    </w:p>
    <w:p/>
    <w:p>
      <w:pPr>
        <w:jc w:val="center"/>
        <w:pStyle w:val="Normal"/>
        <w:spacing w:line="240" w:lineRule="auto"/>
        <w:keepNext/>
      </w:pPr>
      <w:r>
        <w:rPr>
          <w:sz w:val="28"/>
          <w:rFonts w:ascii="Times New Roman" w:hAnsi="Times New Roman"/>
        </w:rPr>
        <w:t xml:space="preserve">Bilješka 7.</w:t>
      </w:r>
    </w:p>
    <w:p>
      <w:pPr>
        <w:jc w:val="both"/>
        <w:pStyle w:val="Normal"/>
        <w:spacing w:line="240" w:lineRule="auto"/>
      </w:pPr>
      <w:r>
        <w:rPr>
          <w:b/>
          <w:sz w:val="24"/>
          <w:rFonts w:ascii="Times New Roman" w:hAnsi="Times New Roman"/>
        </w:rPr>
        <w:t xml:space="preserve">EU izvještaj</w:t>
      </w:r>
    </w:p>
    <w:p>
      <w:r>
        <w:t xml:space="preserve">U EU izvještaju po izvorima financiranja za razdoblje siječanj - ožujak 2026. godine iskazani su ostvareni prihodi po izvoru 581 - Mehanizam za oporavak i otpornost - bespovratna sredstva. U izvještajnom razdoblju ostvareni su prihodi u iznosu  27.602,47 € i odnose se na obračunate plaće za prosinac 2025. godine za 12 radnika. Rashodi plaća za izvještajno razdoblje nisu ostvareni budući se od siječnja 2026. godine plaće za sve radnike financiraju iz izvora 11 tj. nadležnog proračuna.</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4c2bf56473fd489d" /></Relationships>
</file>